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fontTable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s/font9.odttf" ContentType="application/vnd.openxmlformats-officedocument.obfuscatedFont"/>
  <Override PartName="/word/fonts/font8.odttf" ContentType="application/vnd.openxmlformats-officedocument.obfuscatedFont"/>
  <Override PartName="/word/fonts/font7.odttf" ContentType="application/vnd.openxmlformats-officedocument.obfuscatedFont"/>
  <Override PartName="/word/fonts/font2.odttf" ContentType="application/vnd.openxmlformats-officedocument.obfuscatedFont"/>
  <Override PartName="/word/fonts/font1.odttf" ContentType="application/vnd.openxmlformats-officedocument.obfuscatedFont"/>
  <Override PartName="/word/fonts/font6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40" w:before="57" w:after="0"/>
        <w:ind w:left="0" w:right="0" w:hanging="0"/>
        <w:jc w:val="center"/>
        <w:rPr/>
      </w:pP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TEMA </w:t>
      </w:r>
      <w:r>
        <w:rPr>
          <w:rFonts w:eastAsia="Calibri" w:cs="Calibri" w:ascii="Calibri" w:hAnsi="Calibri"/>
          <w:b/>
          <w:bCs/>
          <w:sz w:val="22"/>
          <w:szCs w:val="22"/>
        </w:rPr>
        <w:t>3</w:t>
      </w:r>
    </w:p>
    <w:p>
      <w:pPr>
        <w:pStyle w:val="Normal"/>
        <w:spacing w:lineRule="auto" w:line="276" w:before="57" w:after="0"/>
        <w:ind w:left="0" w:hanging="0"/>
        <w:jc w:val="center"/>
        <w:rPr/>
      </w:pPr>
      <w:r>
        <w:rPr>
          <w:rFonts w:eastAsia="Calibri" w:cs="Calibri" w:ascii="Calibri" w:hAnsi="Calibri"/>
          <w:b/>
          <w:bCs/>
          <w:sz w:val="22"/>
          <w:szCs w:val="22"/>
        </w:rPr>
        <w:t>LOS PRESBÍTEROS: ACTITUDES, PERFIL SINODAL Y CORRESPONSABILIDAD CON OTROS MIEMBROS DEL PUEBLO DE DIOS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40" w:before="57" w:after="0"/>
        <w:ind w:left="0" w:right="0" w:hanging="0"/>
        <w:jc w:val="center"/>
        <w:rPr>
          <w:rFonts w:ascii="Calibri" w:hAnsi="Calibri" w:eastAsia="Calibri" w:cs="Calibri"/>
          <w:b/>
          <w:b/>
          <w:bCs/>
          <w:sz w:val="22"/>
          <w:szCs w:val="22"/>
        </w:rPr>
      </w:pPr>
      <w:r>
        <w:rPr>
          <w:rFonts w:eastAsia="Calibri" w:cs="Calibri" w:ascii="Calibri" w:hAnsi="Calibri"/>
          <w:b/>
          <w:bCs/>
          <w:sz w:val="22"/>
          <w:szCs w:val="22"/>
        </w:rPr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40" w:before="57" w:after="0"/>
        <w:ind w:left="0" w:right="0" w:hanging="0"/>
        <w:jc w:val="both"/>
        <w:rPr/>
      </w:pP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ORACIÓN INICIAL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40" w:before="57" w:after="0"/>
        <w:ind w:left="0" w:right="0" w:hanging="0"/>
        <w:jc w:val="both"/>
        <w:rPr>
          <w:rFonts w:ascii="Calibri" w:hAnsi="Calibri" w:eastAsia="Calibri" w:cs="Calibri"/>
          <w:b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vertAlign w:val="baseline"/>
        </w:rPr>
      </w:pP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vertAlign w:val="baseline"/>
        </w:rPr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40" w:before="57" w:after="0"/>
        <w:ind w:left="0" w:right="0" w:firstLine="720"/>
        <w:jc w:val="both"/>
        <w:rPr/>
      </w:pPr>
      <w:r>
        <w:rPr>
          <w:rFonts w:eastAsia="Calibri" w:cs="Calibri" w:ascii="Calibri" w:hAnsi="Calibri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Comenzamos con un breve texto bíblico (</w:t>
      </w:r>
      <w:r>
        <w:rPr>
          <w:rFonts w:eastAsia="Calibri" w:cs="Calibri" w:ascii="Calibri" w:hAnsi="Calibri"/>
          <w:sz w:val="22"/>
          <w:szCs w:val="22"/>
        </w:rPr>
        <w:t>1Cor 12, 4-11</w:t>
      </w:r>
      <w:r>
        <w:rPr>
          <w:rFonts w:eastAsia="Calibri" w:cs="Calibri" w:ascii="Calibri" w:hAnsi="Calibri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)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40" w:before="57" w:after="0"/>
        <w:ind w:left="0" w:right="0" w:hanging="0"/>
        <w:jc w:val="both"/>
        <w:rPr/>
      </w:pPr>
      <w:r>
        <w:rPr>
          <w:rFonts w:eastAsia="Calibri" w:cs="Calibri" w:ascii="Calibri" w:hAnsi="Calibri"/>
          <w:i/>
          <w:iCs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“</w:t>
      </w:r>
      <w:r>
        <w:rPr>
          <w:rFonts w:eastAsia="Calibri" w:cs="Calibri" w:ascii="Calibri" w:hAnsi="Calibri"/>
          <w:i/>
          <w:iCs/>
          <w:sz w:val="22"/>
          <w:szCs w:val="22"/>
        </w:rPr>
        <w:t xml:space="preserve">Y hay diversidad de carismas, pero un mismo Espíritu; hay diversidad de ministerios, pero un mismo Señor; y hay diversidad de actuaciones, pero un mismo Dios que obra todo en todos. Pero a cada cual se le otorga la manifestación del Espíritu para el bien común </w:t>
      </w:r>
      <w:r>
        <w:rPr>
          <w:rFonts w:eastAsia="Calibri" w:cs="Calibri" w:ascii="Calibri" w:hAnsi="Calibri"/>
          <w:i/>
          <w:iCs/>
          <w:sz w:val="22"/>
          <w:szCs w:val="22"/>
        </w:rPr>
        <w:t>(…</w:t>
      </w:r>
      <w:r>
        <w:rPr>
          <w:rFonts w:eastAsia="Calibri" w:cs="Calibri" w:ascii="Calibri" w:hAnsi="Calibri"/>
          <w:i/>
          <w:iCs/>
          <w:sz w:val="22"/>
          <w:szCs w:val="22"/>
        </w:rPr>
        <w:t xml:space="preserve">) </w:t>
      </w:r>
      <w:r>
        <w:rPr>
          <w:rFonts w:eastAsia="Calibri" w:cs="Calibri" w:ascii="Calibri" w:hAnsi="Calibri"/>
          <w:i/>
          <w:iCs/>
          <w:sz w:val="22"/>
          <w:szCs w:val="22"/>
        </w:rPr>
        <w:t>El mismo y único Espíritu obra todo esto, repartiendo a cada uno en particular como él quiere</w:t>
      </w:r>
      <w:r>
        <w:rPr>
          <w:rFonts w:eastAsia="Calibri" w:cs="Calibri" w:ascii="Calibri" w:hAnsi="Calibri"/>
          <w:i/>
          <w:iCs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”.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>
          <w:rFonts w:ascii="Calibri" w:hAnsi="Calibri" w:eastAsia="Calibri" w:cs="Calibri"/>
          <w:b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vertAlign w:val="baseline"/>
        </w:rPr>
      </w:pPr>
      <w:r>
        <w:rPr>
          <w:rFonts w:eastAsia="Calibri" w:cs="Calibri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vertAlign w:val="baseline"/>
        </w:rPr>
      </w:r>
    </w:p>
    <w:p>
      <w:pPr>
        <w:pStyle w:val="Normal"/>
        <w:spacing w:before="57" w:after="0"/>
        <w:jc w:val="both"/>
        <w:rPr/>
      </w:pPr>
      <w:r>
        <w:rPr>
          <w:rFonts w:eastAsia="Calibri" w:cs="Calibri" w:ascii="Calibri" w:hAnsi="Calibri"/>
          <w:b/>
          <w:bCs/>
          <w:sz w:val="22"/>
          <w:szCs w:val="22"/>
        </w:rPr>
        <w:t>PARTIR DE LA REALIDAD</w:t>
      </w:r>
    </w:p>
    <w:p>
      <w:pPr>
        <w:pStyle w:val="Normal"/>
        <w:spacing w:before="57" w:after="0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firstLine="720"/>
        <w:jc w:val="both"/>
        <w:rPr/>
      </w:pPr>
      <w:r>
        <w:rPr>
          <w:rFonts w:eastAsia="Calibri" w:cs="Calibri" w:ascii="Calibri" w:hAnsi="Calibri"/>
          <w:sz w:val="22"/>
          <w:szCs w:val="22"/>
        </w:rPr>
        <w:t>N</w:t>
      </w:r>
      <w:r>
        <w:rPr>
          <w:rFonts w:eastAsia="Calibri" w:cs="Calibri" w:ascii="Calibri" w:hAnsi="Calibri"/>
          <w:sz w:val="22"/>
          <w:szCs w:val="22"/>
        </w:rPr>
        <w:t xml:space="preserve">os encontramos con una respuesta muy tibia </w:t>
      </w:r>
      <w:r>
        <w:rPr>
          <w:rFonts w:eastAsia="Calibri" w:cs="Calibri" w:ascii="Calibri" w:hAnsi="Calibri"/>
          <w:sz w:val="22"/>
          <w:szCs w:val="22"/>
        </w:rPr>
        <w:t>sacerdotal</w:t>
      </w:r>
      <w:r>
        <w:rPr>
          <w:rFonts w:eastAsia="Calibri" w:cs="Calibri" w:ascii="Calibri" w:hAnsi="Calibri"/>
          <w:sz w:val="22"/>
          <w:szCs w:val="22"/>
        </w:rPr>
        <w:t xml:space="preserve">, motivada tal vez,  por el cansancio, prejuicios, bloqueos y, especialmente, por la resistencias de algunos a aceptar este camino.  El mismo D. Carlos constataba estas mismas resistencias en la presentación del Plan de implementación diocesana allá por el mes de enero. </w:t>
      </w:r>
    </w:p>
    <w:p>
      <w:pPr>
        <w:pStyle w:val="Normal"/>
        <w:widowControl/>
        <w:shd w:val="clear" w:fill="auto"/>
        <w:spacing w:lineRule="auto" w:line="259" w:before="57" w:after="0"/>
        <w:ind w:left="0" w:right="0" w:firstLine="720"/>
        <w:jc w:val="both"/>
        <w:rPr/>
      </w:pPr>
      <w:r>
        <w:rPr>
          <w:rFonts w:eastAsia="Calibri" w:cs="Calibri" w:ascii="Calibri" w:hAnsi="Calibri"/>
          <w:sz w:val="22"/>
          <w:szCs w:val="22"/>
        </w:rPr>
        <w:t>E</w:t>
      </w:r>
      <w:r>
        <w:rPr>
          <w:rFonts w:eastAsia="Calibri" w:cs="Calibri" w:ascii="Calibri" w:hAnsi="Calibri"/>
          <w:sz w:val="22"/>
          <w:szCs w:val="22"/>
        </w:rPr>
        <w:t>l mismo León XIV, ha llegado a decir que en este campo queda mucho por hacer, que los sacerdotes han de abrir su corazón y participar en estos procesos y finalmente, que las Iglesias locales emprendan iniciativas adecuadas para que los presbíteros puedan familiarizarse con las directrices de este Documento y experimentar la fecundidad de un estilo sinodal de Iglesia (nº 21).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firstLine="720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/>
      </w:pPr>
      <w:r>
        <w:rPr>
          <w:rFonts w:eastAsia="Calibri" w:cs="Calibri" w:ascii="Calibri" w:hAnsi="Calibri"/>
          <w:b/>
          <w:bCs/>
          <w:sz w:val="22"/>
          <w:szCs w:val="22"/>
        </w:rPr>
        <w:t>BUSCAR LA INSPIRACIÓN Y PROPONER CAMBIOS CONCRETOS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/>
      </w:pPr>
      <w:r>
        <w:rPr>
          <w:rFonts w:eastAsia="Calibri" w:cs="Calibri" w:ascii="Calibri" w:hAnsi="Calibri"/>
          <w:sz w:val="22"/>
          <w:szCs w:val="22"/>
        </w:rPr>
        <w:tab/>
        <w:t>El Documento final señala como tres líneas de trabajo: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3"/>
        </w:numPr>
        <w:shd w:val="clear" w:fill="auto"/>
        <w:spacing w:lineRule="auto" w:line="259" w:before="57" w:after="0"/>
        <w:jc w:val="both"/>
        <w:rPr/>
      </w:pPr>
      <w:r>
        <w:rPr>
          <w:rFonts w:eastAsia="Calibri" w:cs="Calibri" w:ascii="Calibri" w:hAnsi="Calibri"/>
          <w:b/>
          <w:bCs/>
          <w:sz w:val="22"/>
          <w:szCs w:val="22"/>
        </w:rPr>
        <w:t>Actitudes de cercanía, acogida y escucha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>
          <w:rFonts w:ascii="Calibri" w:hAnsi="Calibri" w:eastAsia="Calibri" w:cs="Calibri"/>
          <w:b/>
          <w:b/>
          <w:bCs/>
          <w:sz w:val="22"/>
          <w:szCs w:val="22"/>
        </w:rPr>
      </w:pPr>
      <w:r>
        <w:rPr>
          <w:rFonts w:eastAsia="Calibri" w:cs="Calibri" w:ascii="Calibri" w:hAnsi="Calibri"/>
          <w:b/>
          <w:bCs/>
          <w:sz w:val="22"/>
          <w:szCs w:val="22"/>
        </w:rPr>
      </w:r>
    </w:p>
    <w:p>
      <w:pPr>
        <w:pStyle w:val="Normal"/>
        <w:spacing w:lineRule="auto" w:line="259" w:before="57" w:after="0"/>
        <w:ind w:firstLine="720"/>
        <w:jc w:val="both"/>
        <w:rPr/>
      </w:pPr>
      <w:r>
        <w:rPr>
          <w:rFonts w:eastAsia="Calibri" w:cs="Calibri" w:ascii="Calibri" w:hAnsi="Calibri"/>
          <w:sz w:val="22"/>
          <w:szCs w:val="22"/>
        </w:rPr>
        <w:t xml:space="preserve"> </w:t>
      </w:r>
      <w:r>
        <w:rPr>
          <w:rFonts w:eastAsia="Calibri" w:cs="Calibri" w:ascii="Calibri" w:hAnsi="Calibri"/>
          <w:sz w:val="22"/>
          <w:szCs w:val="22"/>
        </w:rPr>
        <w:t xml:space="preserve">Así lo propone el Documento: </w:t>
      </w:r>
      <w:r>
        <w:rPr>
          <w:rFonts w:eastAsia="Calibri" w:cs="Calibri" w:ascii="Calibri" w:hAnsi="Calibri"/>
          <w:i/>
          <w:iCs/>
          <w:sz w:val="22"/>
          <w:szCs w:val="22"/>
        </w:rPr>
        <w:t>“En una Iglesia sinodal, los presbíteros están llamados a vivir su servicio en una actitud de cercanía a las personas, de acogida y escucha de todos, a</w:t>
      </w:r>
      <w:r>
        <w:rPr>
          <w:rFonts w:eastAsia="Calibri" w:cs="Calibri" w:ascii="Calibri" w:hAnsi="Calibri"/>
          <w:b/>
          <w:bCs/>
          <w:i/>
          <w:iCs/>
          <w:sz w:val="22"/>
          <w:szCs w:val="22"/>
        </w:rPr>
        <w:t>briéndose a un estilo auténticamente sinodal.”</w:t>
      </w:r>
      <w:r>
        <w:rPr>
          <w:rFonts w:eastAsia="Calibri" w:cs="Calibri" w:ascii="Calibri" w:hAnsi="Calibri"/>
          <w:i/>
          <w:iCs/>
          <w:sz w:val="22"/>
          <w:szCs w:val="22"/>
        </w:rPr>
        <w:t xml:space="preserve"> </w:t>
      </w:r>
      <w:r>
        <w:rPr>
          <w:rFonts w:eastAsia="Calibri" w:cs="Calibri" w:ascii="Calibri" w:hAnsi="Calibri"/>
          <w:sz w:val="22"/>
          <w:szCs w:val="22"/>
        </w:rPr>
        <w:t xml:space="preserve">(DF 72). </w:t>
      </w:r>
    </w:p>
    <w:p>
      <w:pPr>
        <w:pStyle w:val="Normal"/>
        <w:spacing w:lineRule="auto" w:line="259" w:before="57" w:after="0"/>
        <w:ind w:firstLine="720"/>
        <w:jc w:val="both"/>
        <w:rPr/>
      </w:pPr>
      <w:r>
        <w:rPr>
          <w:rFonts w:eastAsia="Calibri" w:cs="Calibri" w:ascii="Calibri" w:hAnsi="Calibri"/>
          <w:i/>
          <w:iCs/>
          <w:sz w:val="22"/>
          <w:szCs w:val="22"/>
        </w:rPr>
        <w:t>“</w:t>
      </w:r>
      <w:r>
        <w:rPr>
          <w:rFonts w:eastAsia="Calibri" w:cs="Calibri" w:ascii="Calibri" w:hAnsi="Calibri"/>
          <w:i/>
          <w:iCs/>
          <w:sz w:val="22"/>
          <w:szCs w:val="22"/>
        </w:rPr>
        <w:t xml:space="preserve">Es urgente definir y potenciar un perfil de pastores cercanos, diáconos permanentes, sacerdotes, obispos y cardenales que escuchen, con olor a oveja, como dice el papa, y potencien la sinodalidad” </w:t>
      </w:r>
      <w:r>
        <w:rPr>
          <w:rFonts w:eastAsia="Calibri" w:cs="Calibri" w:ascii="Calibri" w:hAnsi="Calibri"/>
          <w:sz w:val="22"/>
          <w:szCs w:val="22"/>
        </w:rPr>
        <w:t>(C 3.7.).</w:t>
      </w:r>
    </w:p>
    <w:p>
      <w:pPr>
        <w:pStyle w:val="Normal"/>
        <w:spacing w:lineRule="auto" w:line="259" w:before="57" w:after="0"/>
        <w:ind w:firstLine="720"/>
        <w:jc w:val="both"/>
        <w:rPr/>
      </w:pPr>
      <w:r>
        <w:rPr>
          <w:rFonts w:eastAsia="Calibri" w:cs="Calibri" w:ascii="Calibri" w:hAnsi="Calibri"/>
          <w:sz w:val="22"/>
          <w:szCs w:val="22"/>
        </w:rPr>
        <w:t xml:space="preserve">Todo ellos sin olvidar una escucha especialmente sensible que ha tenido amplio eco en el trabajo sinodal y en el Documento: </w:t>
      </w:r>
      <w:r>
        <w:rPr>
          <w:rFonts w:eastAsia="Calibri" w:cs="Calibri" w:ascii="Calibri" w:hAnsi="Calibri"/>
          <w:i/>
          <w:iCs/>
          <w:sz w:val="22"/>
          <w:szCs w:val="22"/>
        </w:rPr>
        <w:t xml:space="preserve">“La Iglesia debe escuchar con particular atención y sensibilidad la </w:t>
      </w:r>
      <w:r>
        <w:rPr>
          <w:rFonts w:eastAsia="Calibri" w:cs="Calibri" w:ascii="Calibri" w:hAnsi="Calibri"/>
          <w:b/>
          <w:bCs/>
          <w:i/>
          <w:iCs/>
          <w:sz w:val="22"/>
          <w:szCs w:val="22"/>
        </w:rPr>
        <w:t>voz de las víctimas</w:t>
      </w:r>
      <w:r>
        <w:rPr>
          <w:rFonts w:eastAsia="Calibri" w:cs="Calibri" w:ascii="Calibri" w:hAnsi="Calibri"/>
          <w:i/>
          <w:iCs/>
          <w:sz w:val="22"/>
          <w:szCs w:val="22"/>
        </w:rPr>
        <w:t xml:space="preserve"> y de los sobrevivientes de los abusos sexuales, espirituales, institucionales, de poder o de conciencia de parte de miembros del clero o de personas con cargos eclesiales.” </w:t>
      </w:r>
      <w:r>
        <w:rPr>
          <w:rFonts w:eastAsia="Calibri" w:cs="Calibri" w:ascii="Calibri" w:hAnsi="Calibri"/>
          <w:sz w:val="22"/>
          <w:szCs w:val="22"/>
        </w:rPr>
        <w:t>(DF 55).</w:t>
      </w:r>
    </w:p>
    <w:p>
      <w:pPr>
        <w:pStyle w:val="Normal"/>
        <w:spacing w:lineRule="auto" w:line="259" w:before="57" w:after="0"/>
        <w:ind w:firstLine="720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spacing w:lineRule="auto" w:line="259" w:before="57" w:after="0"/>
        <w:ind w:firstLine="720"/>
        <w:jc w:val="both"/>
        <w:rPr/>
      </w:pPr>
      <w:r>
        <w:rPr>
          <w:rFonts w:eastAsia="Calibri" w:cs="Calibri" w:ascii="Calibri" w:hAnsi="Calibri"/>
          <w:sz w:val="22"/>
          <w:szCs w:val="22"/>
        </w:rPr>
        <w:t>PREGUNTAS:</w:t>
      </w:r>
    </w:p>
    <w:p>
      <w:pPr>
        <w:pStyle w:val="Normal"/>
        <w:spacing w:lineRule="auto" w:line="259" w:before="57" w:after="0"/>
        <w:ind w:firstLine="720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numPr>
          <w:ilvl w:val="0"/>
          <w:numId w:val="1"/>
        </w:numPr>
        <w:spacing w:lineRule="auto" w:line="259" w:before="57" w:after="0"/>
        <w:ind w:left="1440" w:hanging="360"/>
        <w:jc w:val="both"/>
        <w:rPr/>
      </w:pPr>
      <w:r>
        <w:rPr>
          <w:rFonts w:eastAsia="Calibri" w:cs="Calibri" w:ascii="Calibri" w:hAnsi="Calibri"/>
          <w:sz w:val="22"/>
          <w:szCs w:val="22"/>
        </w:rPr>
        <w:t xml:space="preserve">¿Qué tipo de actuaciones concretas esperamos de los sacerdotes que reflejen actitudes de cercanía, acogida y escucha </w:t>
      </w:r>
      <w:r>
        <w:rPr>
          <w:rFonts w:eastAsia="Calibri" w:cs="Calibri" w:ascii="Calibri" w:hAnsi="Calibri"/>
          <w:sz w:val="22"/>
          <w:szCs w:val="22"/>
        </w:rPr>
        <w:t>en el día a día</w:t>
      </w:r>
      <w:r>
        <w:rPr>
          <w:rFonts w:eastAsia="Calibri" w:cs="Calibri" w:ascii="Calibri" w:hAnsi="Calibri"/>
          <w:sz w:val="22"/>
          <w:szCs w:val="22"/>
        </w:rPr>
        <w:t>?</w:t>
      </w:r>
    </w:p>
    <w:p>
      <w:pPr>
        <w:pStyle w:val="Normal"/>
        <w:numPr>
          <w:ilvl w:val="0"/>
          <w:numId w:val="1"/>
        </w:numPr>
        <w:spacing w:lineRule="auto" w:line="259" w:before="57" w:after="0"/>
        <w:ind w:left="1440" w:hanging="360"/>
        <w:jc w:val="both"/>
        <w:rPr/>
      </w:pPr>
      <w:r>
        <w:rPr>
          <w:rFonts w:eastAsia="Calibri" w:cs="Calibri" w:ascii="Calibri" w:hAnsi="Calibri"/>
          <w:sz w:val="22"/>
          <w:szCs w:val="22"/>
        </w:rPr>
        <w:t>¿Qué cambios sería necesario introducir en las comunidades cristianas para un acompañamiento eficaz de los sacerdotes en una actitud de cercanía a las personas, de acogida y de escucha a todos?</w:t>
      </w:r>
    </w:p>
    <w:p>
      <w:pPr>
        <w:pStyle w:val="Normal"/>
        <w:numPr>
          <w:ilvl w:val="0"/>
          <w:numId w:val="1"/>
        </w:numPr>
        <w:spacing w:lineRule="auto" w:line="259" w:before="57" w:after="0"/>
        <w:ind w:left="1440" w:hanging="360"/>
        <w:jc w:val="both"/>
        <w:rPr/>
      </w:pPr>
      <w:r>
        <w:rPr>
          <w:rFonts w:eastAsia="Calibri" w:cs="Calibri" w:ascii="Calibri" w:hAnsi="Calibri"/>
          <w:sz w:val="22"/>
          <w:szCs w:val="22"/>
        </w:rPr>
        <w:t xml:space="preserve">¿En qué sentido crees que el </w:t>
      </w:r>
      <w:r>
        <w:rPr>
          <w:rFonts w:eastAsia="Calibri" w:cs="Calibri" w:ascii="Calibri" w:hAnsi="Calibri"/>
          <w:b/>
          <w:bCs/>
          <w:sz w:val="22"/>
          <w:szCs w:val="22"/>
        </w:rPr>
        <w:t>celibato opcional</w:t>
      </w:r>
      <w:r>
        <w:rPr>
          <w:rFonts w:eastAsia="Calibri" w:cs="Calibri" w:ascii="Calibri" w:hAnsi="Calibri"/>
          <w:sz w:val="22"/>
          <w:szCs w:val="22"/>
        </w:rPr>
        <w:t xml:space="preserve"> puede contribuir a promover en los sacerdotes mayor sensibilidad para la escucha y para comprender su ministerio como servicio y no como poder? ¿Crees que se debería abrir el diálogo sobre el celibato opcional de los sacerdotes en la Iglesia católica tal como se dice en la Síntesis diocesana C 3.7.?</w:t>
      </w:r>
    </w:p>
    <w:p>
      <w:pPr>
        <w:pStyle w:val="Normal"/>
        <w:numPr>
          <w:ilvl w:val="0"/>
          <w:numId w:val="1"/>
        </w:numPr>
        <w:spacing w:lineRule="auto" w:line="259" w:before="57" w:after="0"/>
        <w:ind w:left="1440" w:hanging="360"/>
        <w:jc w:val="both"/>
        <w:rPr/>
      </w:pPr>
      <w:r>
        <w:rPr>
          <w:rFonts w:eastAsia="Calibri" w:cs="Calibri" w:ascii="Calibri" w:hAnsi="Calibri"/>
          <w:sz w:val="22"/>
          <w:szCs w:val="22"/>
        </w:rPr>
        <w:t>¿Cómo integrar y aprovechar la experiencia pastoral de los sacerdotes casados, tal como se dice en la Síntesis diocesana C 3.7.?</w:t>
      </w:r>
    </w:p>
    <w:p>
      <w:pPr>
        <w:pStyle w:val="Normal"/>
        <w:numPr>
          <w:ilvl w:val="0"/>
          <w:numId w:val="1"/>
        </w:numPr>
        <w:spacing w:lineRule="auto" w:line="259" w:before="57" w:after="0"/>
        <w:ind w:left="1440" w:hanging="360"/>
        <w:jc w:val="both"/>
        <w:rPr/>
      </w:pPr>
      <w:r>
        <w:rPr>
          <w:rFonts w:eastAsia="Calibri" w:cs="Calibri" w:ascii="Calibri" w:hAnsi="Calibri"/>
          <w:sz w:val="22"/>
          <w:szCs w:val="22"/>
        </w:rPr>
        <w:t>¿Crees que la escucha de la Iglesia diocesana a la voz de las víctimas de abusos está suficientemente atendida con la Oficina para recepción de informes y denuncias, o habría que poner en marcha iniciativas para hacer de las comunidades lugares cada vez más seguros para los menores y las personas vulnerables (DF 150)?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2"/>
        </w:numPr>
        <w:shd w:val="clear" w:fill="auto"/>
        <w:spacing w:lineRule="auto" w:line="259" w:before="57" w:after="0"/>
        <w:jc w:val="both"/>
        <w:rPr/>
      </w:pPr>
      <w:r>
        <w:rPr>
          <w:rFonts w:eastAsia="Calibri" w:cs="Calibri" w:ascii="Calibri" w:hAnsi="Calibri"/>
          <w:b/>
          <w:bCs/>
          <w:sz w:val="22"/>
          <w:szCs w:val="22"/>
        </w:rPr>
        <w:t>El perfil sinodal de los nuevos pastores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>
          <w:rFonts w:ascii="Calibri" w:hAnsi="Calibri" w:eastAsia="Calibri" w:cs="Calibri"/>
          <w:b/>
          <w:b/>
          <w:bCs/>
          <w:sz w:val="22"/>
          <w:szCs w:val="22"/>
        </w:rPr>
      </w:pPr>
      <w:r>
        <w:rPr>
          <w:rFonts w:eastAsia="Calibri" w:cs="Calibri" w:ascii="Calibri" w:hAnsi="Calibri"/>
          <w:b/>
          <w:bCs/>
          <w:sz w:val="22"/>
          <w:szCs w:val="22"/>
        </w:rPr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/>
      </w:pPr>
      <w:r>
        <w:rPr>
          <w:rFonts w:eastAsia="Calibri" w:cs="Calibri" w:ascii="Calibri" w:hAnsi="Calibri"/>
          <w:sz w:val="22"/>
          <w:szCs w:val="22"/>
        </w:rPr>
        <w:tab/>
        <w:t xml:space="preserve">Tan importantes como las actitudes son las </w:t>
      </w:r>
      <w:r>
        <w:rPr>
          <w:rFonts w:eastAsia="Calibri" w:cs="Calibri" w:ascii="Calibri" w:hAnsi="Calibri"/>
          <w:b/>
          <w:bCs/>
          <w:sz w:val="22"/>
          <w:szCs w:val="22"/>
        </w:rPr>
        <w:t>competencias sinodales</w:t>
      </w:r>
      <w:r>
        <w:rPr>
          <w:rFonts w:eastAsia="Calibri" w:cs="Calibri" w:ascii="Calibri" w:hAnsi="Calibri"/>
          <w:sz w:val="22"/>
          <w:szCs w:val="22"/>
        </w:rPr>
        <w:t xml:space="preserve"> de los presbíteros. </w:t>
      </w:r>
      <w:r>
        <w:rPr>
          <w:rFonts w:eastAsia="Calibri" w:cs="Calibri" w:ascii="Calibri" w:hAnsi="Calibri"/>
          <w:i/>
          <w:iCs/>
          <w:sz w:val="22"/>
          <w:szCs w:val="22"/>
        </w:rPr>
        <w:t xml:space="preserve">“Los presbíteros forman con su Obispo un único Presbiterio (LG 28) y colaboran con él en el discernimiento de los carismas y en el acompañamiento y guía de la Iglesia local, con particular atención al servicio de la unidad.” </w:t>
      </w:r>
      <w:r>
        <w:rPr>
          <w:rFonts w:eastAsia="Calibri" w:cs="Calibri" w:ascii="Calibri" w:hAnsi="Calibri"/>
          <w:sz w:val="22"/>
          <w:szCs w:val="22"/>
        </w:rPr>
        <w:t xml:space="preserve">(DF 72). 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/>
      </w:pPr>
      <w:r>
        <w:rPr>
          <w:rFonts w:eastAsia="Calibri" w:cs="Calibri" w:ascii="Calibri" w:hAnsi="Calibri"/>
          <w:sz w:val="22"/>
          <w:szCs w:val="22"/>
        </w:rPr>
        <w:tab/>
        <w:t xml:space="preserve">Algo que ha de orientar la formación de los candidatos al presbiterado: </w:t>
      </w:r>
      <w:r>
        <w:rPr>
          <w:rFonts w:eastAsia="Calibri" w:cs="Calibri" w:ascii="Calibri" w:hAnsi="Calibri"/>
          <w:i/>
          <w:iCs/>
          <w:sz w:val="22"/>
          <w:szCs w:val="22"/>
        </w:rPr>
        <w:t xml:space="preserve">“A lo largo del proceso sinodal se ha expresado ampliamente la petición de que los itinerarios de discernimiento y formación de los candidatos al ministerio ordenado se configuren al estilo sinodal. Esto significa que deben prever una presencia significativa de </w:t>
      </w:r>
      <w:r>
        <w:rPr>
          <w:rFonts w:eastAsia="Calibri" w:cs="Calibri" w:ascii="Calibri" w:hAnsi="Calibri"/>
          <w:b w:val="false"/>
          <w:bCs w:val="false"/>
          <w:i/>
          <w:iCs/>
          <w:sz w:val="22"/>
          <w:szCs w:val="22"/>
        </w:rPr>
        <w:t>figuras femeninas</w:t>
      </w:r>
      <w:r>
        <w:rPr>
          <w:rFonts w:eastAsia="Calibri" w:cs="Calibri" w:ascii="Calibri" w:hAnsi="Calibri"/>
          <w:i/>
          <w:iCs/>
          <w:sz w:val="22"/>
          <w:szCs w:val="22"/>
        </w:rPr>
        <w:t>, una i</w:t>
      </w:r>
      <w:r>
        <w:rPr>
          <w:rFonts w:eastAsia="Calibri" w:cs="Calibri" w:ascii="Calibri" w:hAnsi="Calibri"/>
          <w:b/>
          <w:bCs/>
          <w:i/>
          <w:iCs/>
          <w:sz w:val="22"/>
          <w:szCs w:val="22"/>
        </w:rPr>
        <w:t xml:space="preserve">nserción en la vida cotidiana </w:t>
      </w:r>
      <w:r>
        <w:rPr>
          <w:rFonts w:eastAsia="Calibri" w:cs="Calibri" w:ascii="Calibri" w:hAnsi="Calibri"/>
          <w:i/>
          <w:iCs/>
          <w:sz w:val="22"/>
          <w:szCs w:val="22"/>
        </w:rPr>
        <w:t xml:space="preserve">de las comunidades y una educación para colaborar con todos en la Iglesia y practicar el discernimiento eclesial.” </w:t>
      </w:r>
      <w:r>
        <w:rPr>
          <w:rFonts w:eastAsia="Calibri" w:cs="Calibri" w:ascii="Calibri" w:hAnsi="Calibri"/>
          <w:sz w:val="22"/>
          <w:szCs w:val="22"/>
        </w:rPr>
        <w:t>(DF 148).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/>
      </w:pPr>
      <w:r>
        <w:rPr>
          <w:rFonts w:eastAsia="Calibri" w:cs="Calibri" w:ascii="Calibri" w:hAnsi="Calibri"/>
          <w:sz w:val="22"/>
          <w:szCs w:val="22"/>
        </w:rPr>
        <w:tab/>
        <w:t xml:space="preserve"> Finalmente, es la misma Asamblea del Sínodo la que ha pedido </w:t>
      </w:r>
      <w:r>
        <w:rPr>
          <w:rFonts w:eastAsia="Calibri" w:cs="Calibri" w:ascii="Calibri" w:hAnsi="Calibri"/>
          <w:sz w:val="22"/>
          <w:szCs w:val="22"/>
        </w:rPr>
        <w:t>U</w:t>
      </w:r>
      <w:r>
        <w:rPr>
          <w:rFonts w:eastAsia="Calibri" w:cs="Calibri" w:ascii="Calibri" w:hAnsi="Calibri"/>
          <w:sz w:val="22"/>
          <w:szCs w:val="22"/>
        </w:rPr>
        <w:t xml:space="preserve">na revisión de las normas y criterios de </w:t>
      </w:r>
      <w:r>
        <w:rPr>
          <w:rFonts w:eastAsia="Calibri" w:cs="Calibri" w:ascii="Calibri" w:hAnsi="Calibri"/>
          <w:b/>
          <w:bCs/>
          <w:sz w:val="22"/>
          <w:szCs w:val="22"/>
        </w:rPr>
        <w:t>la formación en los seminarios</w:t>
      </w:r>
      <w:r>
        <w:rPr>
          <w:rFonts w:eastAsia="Calibri" w:cs="Calibri" w:ascii="Calibri" w:hAnsi="Calibri"/>
          <w:i/>
          <w:iCs/>
          <w:sz w:val="22"/>
          <w:szCs w:val="22"/>
        </w:rPr>
        <w:t xml:space="preserve">“que incorpore las peticiones maduradas en el Sínodo, traduciéndolas en indicaciones precisas para una formación a la sinodalidad.” </w:t>
      </w:r>
      <w:r>
        <w:rPr>
          <w:rFonts w:eastAsia="Calibri" w:cs="Calibri" w:ascii="Calibri" w:hAnsi="Calibri"/>
          <w:sz w:val="22"/>
          <w:szCs w:val="22"/>
        </w:rPr>
        <w:t>(DF 148).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firstLine="720"/>
        <w:jc w:val="both"/>
        <w:rPr/>
      </w:pPr>
      <w:r>
        <w:rPr>
          <w:rFonts w:eastAsia="Calibri" w:cs="Calibri" w:ascii="Calibri" w:hAnsi="Calibri"/>
          <w:sz w:val="22"/>
          <w:szCs w:val="22"/>
        </w:rPr>
        <w:t xml:space="preserve">PREGUNTAS: 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shd w:val="clear" w:fill="auto"/>
        <w:spacing w:lineRule="auto" w:line="259" w:before="57" w:after="0"/>
        <w:ind w:left="1440" w:right="0" w:hanging="360"/>
        <w:jc w:val="both"/>
        <w:rPr/>
      </w:pPr>
      <w:r>
        <w:rPr>
          <w:rFonts w:eastAsia="Calibri" w:cs="Calibri" w:ascii="Calibri" w:hAnsi="Calibri"/>
          <w:sz w:val="22"/>
          <w:szCs w:val="22"/>
        </w:rPr>
        <w:t>¿Qué competencias han de desarrollar los presbíteros para ejercer su tarea propia de discernimiento de los carismas y liderazgo en las comunidades?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shd w:val="clear" w:fill="auto"/>
        <w:spacing w:lineRule="auto" w:line="259" w:before="57" w:after="0"/>
        <w:ind w:left="1440" w:right="0" w:hanging="360"/>
        <w:jc w:val="both"/>
        <w:rPr/>
      </w:pPr>
      <w:r>
        <w:rPr>
          <w:rFonts w:eastAsia="Calibri" w:cs="Calibri" w:ascii="Calibri" w:hAnsi="Calibri"/>
          <w:sz w:val="22"/>
          <w:szCs w:val="22"/>
        </w:rPr>
        <w:t>¿Qué actuaciones esperamos de los presbíteros en su servicio a la unidad?</w:t>
      </w:r>
    </w:p>
    <w:p>
      <w:pPr>
        <w:pStyle w:val="Normal"/>
        <w:numPr>
          <w:ilvl w:val="0"/>
          <w:numId w:val="1"/>
        </w:numPr>
        <w:rPr/>
      </w:pPr>
      <w:r>
        <w:rPr>
          <w:rFonts w:eastAsia="Calibri" w:cs="Calibri" w:ascii="Calibri" w:hAnsi="Calibri"/>
          <w:sz w:val="22"/>
          <w:szCs w:val="22"/>
        </w:rPr>
        <w:t xml:space="preserve">¿Qué cambios son necesarios en la formación de los nuevos pastores para adecuarse a las indicaciones del Sínodo? </w:t>
      </w:r>
      <w:r>
        <w:rPr>
          <w:rFonts w:eastAsia="Calibri" w:cs="Calibri" w:ascii="Calibri" w:hAnsi="Calibri"/>
          <w:sz w:val="22"/>
          <w:szCs w:val="22"/>
        </w:rPr>
        <w:t>¿Seguirían los seminarios?</w:t>
      </w:r>
      <w:r>
        <w:rPr>
          <w:rFonts w:eastAsia="Calibri" w:cs="Calibri" w:ascii="Calibri" w:hAnsi="Calibri"/>
          <w:sz w:val="22"/>
          <w:szCs w:val="22"/>
        </w:rPr>
        <w:t xml:space="preserve"> 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>
          <w:rFonts w:ascii="Calibri" w:hAnsi="Calibri" w:eastAsia="Calibri" w:cs="Calibri"/>
          <w:b/>
          <w:b/>
          <w:bCs/>
          <w:sz w:val="22"/>
          <w:szCs w:val="22"/>
        </w:rPr>
      </w:pPr>
      <w:r>
        <w:rPr>
          <w:rFonts w:eastAsia="Calibri" w:cs="Calibri" w:ascii="Calibri" w:hAnsi="Calibri"/>
          <w:b/>
          <w:bCs/>
          <w:sz w:val="22"/>
          <w:szCs w:val="22"/>
        </w:rPr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/>
      </w:pPr>
      <w:r>
        <w:rPr>
          <w:rFonts w:eastAsia="Calibri" w:cs="Calibri" w:ascii="Calibri" w:hAnsi="Calibri"/>
          <w:b/>
          <w:bCs/>
          <w:sz w:val="22"/>
          <w:szCs w:val="22"/>
        </w:rPr>
        <w:t>La colaboración con otros miembros del Pueblo de Dios</w:t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1134" w:right="1134" w:header="720" w:top="1134" w:footer="720" w:bottom="1134" w:gutter="0"/>
          <w:pgNumType w:start="1"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/>
      </w:pPr>
      <w:r>
        <w:rPr>
          <w:rFonts w:eastAsia="Calibri" w:cs="Calibri" w:ascii="Calibri" w:hAnsi="Calibri"/>
          <w:i/>
          <w:iCs/>
          <w:sz w:val="22"/>
          <w:szCs w:val="22"/>
        </w:rPr>
        <w:tab/>
      </w:r>
      <w:r>
        <w:rPr>
          <w:rFonts w:eastAsia="Calibri" w:cs="Calibri" w:ascii="Calibri" w:hAnsi="Calibri"/>
          <w:sz w:val="22"/>
          <w:szCs w:val="22"/>
        </w:rPr>
        <w:t>Para ser más sinodales, los sacerdotes están llamados a trabajar corresponsablemente con los laicos.  Como dice la Síntesis diocesana, los párrocos deben escuchar y contar con los laicos, en particular con los jóvenes, y darles responsabilidades (C 1.7.). Especi</w:t>
      </w:r>
      <w:r>
        <w:rPr>
          <w:rFonts w:eastAsia="Calibri" w:cs="Calibri" w:ascii="Calibri" w:hAnsi="Calibri"/>
          <w:b w:val="false"/>
          <w:bCs w:val="false"/>
          <w:sz w:val="22"/>
          <w:szCs w:val="22"/>
        </w:rPr>
        <w:t xml:space="preserve">al importancia reviste la generalización de unas prácticas más sinodales en los </w:t>
      </w:r>
      <w:r>
        <w:rPr>
          <w:rFonts w:eastAsia="Calibri" w:cs="Calibri" w:ascii="Calibri" w:hAnsi="Calibri"/>
          <w:b/>
          <w:bCs/>
          <w:sz w:val="22"/>
          <w:szCs w:val="22"/>
        </w:rPr>
        <w:t>procesos de toma de decisiones</w:t>
      </w:r>
      <w:r>
        <w:rPr>
          <w:rFonts w:eastAsia="Calibri" w:cs="Calibri" w:ascii="Calibri" w:hAnsi="Calibri"/>
          <w:sz w:val="22"/>
          <w:szCs w:val="22"/>
        </w:rPr>
        <w:t xml:space="preserve"> (DF 74).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firstLine="720"/>
        <w:jc w:val="both"/>
        <w:rPr/>
      </w:pPr>
      <w:r>
        <w:rPr>
          <w:rFonts w:eastAsia="Calibri" w:cs="Calibri" w:ascii="Calibri" w:hAnsi="Calibri"/>
          <w:sz w:val="22"/>
          <w:szCs w:val="22"/>
        </w:rPr>
        <w:t xml:space="preserve">Los presbíteros están llamados a vivir la </w:t>
      </w:r>
      <w:r>
        <w:rPr>
          <w:rFonts w:eastAsia="Calibri" w:cs="Calibri" w:ascii="Calibri" w:hAnsi="Calibri"/>
          <w:b/>
          <w:bCs/>
          <w:sz w:val="22"/>
          <w:szCs w:val="22"/>
        </w:rPr>
        <w:t>fraternidad presbiteral</w:t>
      </w:r>
      <w:r>
        <w:rPr>
          <w:rFonts w:eastAsia="Calibri" w:cs="Calibri" w:ascii="Calibri" w:hAnsi="Calibri"/>
          <w:sz w:val="22"/>
          <w:szCs w:val="22"/>
        </w:rPr>
        <w:t xml:space="preserve"> y a caminar juntos en el servicio pastoral (DF 72) y, además, llevar a cabo una pastoral de conjunto en vicarías, arciprestazgos y unidades pastorales (Síntesis diocesana C 1.7.).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/>
      </w:pPr>
      <w:r>
        <w:rPr>
          <w:rFonts w:eastAsia="Calibri" w:cs="Calibri" w:ascii="Calibri" w:hAnsi="Calibri"/>
          <w:i/>
          <w:iCs/>
          <w:sz w:val="22"/>
          <w:szCs w:val="22"/>
        </w:rPr>
        <w:t xml:space="preserve"> </w:t>
      </w:r>
      <w:r>
        <w:rPr>
          <w:rFonts w:eastAsia="Calibri" w:cs="Calibri" w:ascii="Calibri" w:hAnsi="Calibri"/>
          <w:i/>
          <w:iCs/>
          <w:sz w:val="22"/>
          <w:szCs w:val="22"/>
        </w:rPr>
        <w:tab/>
        <w:t xml:space="preserve">“También ayudará a </w:t>
      </w:r>
      <w:r>
        <w:rPr>
          <w:rFonts w:eastAsia="Calibri" w:cs="Calibri" w:ascii="Calibri" w:hAnsi="Calibri"/>
          <w:b/>
          <w:bCs/>
          <w:i w:val="false"/>
          <w:iCs w:val="false"/>
          <w:sz w:val="22"/>
          <w:szCs w:val="22"/>
        </w:rPr>
        <w:t xml:space="preserve">superar el clericalismo </w:t>
      </w:r>
      <w:r>
        <w:rPr>
          <w:rFonts w:eastAsia="Calibri" w:cs="Calibri" w:ascii="Calibri" w:hAnsi="Calibri"/>
          <w:i/>
          <w:iCs/>
          <w:sz w:val="22"/>
          <w:szCs w:val="22"/>
        </w:rPr>
        <w:t xml:space="preserve">entendido como el uso del poder en beneficio propio y la distorsión de la autoridad de la Iglesia que está al servicio del Pueblo de Dios. Este se expresa especialmente en abusos sexuales, económicos, de conciencia y de poder por parte de los ministros de la Iglesia. El clericalismo, fomentado tanto por los mismos sacerdotes como por los laicos, genera un cisma en el cuerpo eclesial que fomenta y ayuda a perpetuar muchos de los males que hoy denunciamos (Francisco, Carta al Pueblo de Dios, 20 de agosto de 2018).” </w:t>
      </w:r>
      <w:r>
        <w:rPr>
          <w:rFonts w:eastAsia="Calibri" w:cs="Calibri" w:ascii="Calibri" w:hAnsi="Calibri"/>
          <w:sz w:val="22"/>
          <w:szCs w:val="22"/>
        </w:rPr>
        <w:t>(DF 74).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/>
      </w:pPr>
      <w:r>
        <w:rPr>
          <w:rFonts w:eastAsia="Calibri" w:cs="Calibri" w:ascii="Calibri" w:hAnsi="Calibri"/>
          <w:sz w:val="22"/>
          <w:szCs w:val="22"/>
        </w:rPr>
        <w:t>PREGUNTAS:</w:t>
      </w:r>
    </w:p>
    <w:p>
      <w:pPr>
        <w:pStyle w:val="Normal"/>
        <w:keepNext w:val="false"/>
        <w:keepLines w:val="false"/>
        <w:pageBreakBefore w:val="false"/>
        <w:widowControl/>
        <w:shd w:val="clear" w:fill="auto"/>
        <w:spacing w:lineRule="auto" w:line="259" w:before="57" w:after="0"/>
        <w:ind w:left="0" w:right="0" w:hanging="0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shd w:val="clear" w:fill="auto"/>
        <w:spacing w:lineRule="auto" w:line="259" w:before="57" w:afterAutospacing="0" w:after="0"/>
        <w:ind w:left="1440" w:right="0" w:hanging="360"/>
        <w:jc w:val="both"/>
        <w:rPr/>
      </w:pPr>
      <w:r>
        <w:rPr>
          <w:rFonts w:eastAsia="Calibri" w:cs="Calibri" w:ascii="Calibri" w:hAnsi="Calibri"/>
          <w:sz w:val="22"/>
          <w:szCs w:val="22"/>
        </w:rPr>
        <w:t>¿Qué tareas en la Iglesia serían responsabilidad del ministerio ordenado y cuáles de otros ministerios?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shd w:val="clear" w:fill="auto"/>
        <w:spacing w:lineRule="auto" w:line="259" w:beforeAutospacing="0" w:before="57" w:afterAutospacing="0" w:after="0"/>
        <w:ind w:left="1440" w:right="0" w:hanging="360"/>
        <w:jc w:val="both"/>
        <w:rPr/>
      </w:pPr>
      <w:r>
        <w:rPr>
          <w:rFonts w:eastAsia="Calibri" w:cs="Calibri" w:ascii="Calibri" w:hAnsi="Calibri"/>
          <w:sz w:val="22"/>
          <w:szCs w:val="22"/>
        </w:rPr>
        <w:t>¿En qué deben cambiar los procesos actuales de toma de decisiones para  que se alcance realmente una corresponsabilidad entre presbíteros y laicos?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shd w:val="clear" w:fill="auto"/>
        <w:spacing w:lineRule="auto" w:line="259" w:beforeAutospacing="0" w:before="57" w:afterAutospacing="0" w:after="0"/>
        <w:ind w:left="1440" w:right="0" w:hanging="360"/>
        <w:jc w:val="both"/>
        <w:rPr/>
      </w:pPr>
      <w:r>
        <w:rPr>
          <w:rFonts w:eastAsia="Calibri" w:cs="Calibri" w:ascii="Calibri" w:hAnsi="Calibri"/>
          <w:sz w:val="22"/>
          <w:szCs w:val="22"/>
        </w:rPr>
        <w:t>¿Crees que la pastoral de conjunto puede ayudar a que los presbíteros vivan la fraternidad presbiteral y la corresponsabilidad con otros miembros del Pueblo de Dios? Si es así ¿Qué exigencias organizativas se derivan y qué cabe exigir a los sacerdotes?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shd w:val="clear" w:fill="auto"/>
        <w:spacing w:lineRule="auto" w:line="259" w:beforeAutospacing="0" w:before="57" w:after="0"/>
        <w:ind w:left="1440" w:right="0" w:hanging="360"/>
        <w:jc w:val="both"/>
        <w:rPr/>
      </w:pPr>
      <w:r>
        <w:rPr>
          <w:rFonts w:eastAsia="Calibri" w:cs="Calibri" w:ascii="Calibri" w:hAnsi="Calibri"/>
          <w:sz w:val="22"/>
          <w:szCs w:val="22"/>
        </w:rPr>
        <w:t>Medidas concretas para la superación del clericalismo</w:t>
      </w:r>
      <w:r>
        <w:rPr>
          <w:rFonts w:eastAsia="Calibri" w:cs="Calibri" w:ascii="Calibri" w:hAnsi="Calibri"/>
          <w:sz w:val="22"/>
          <w:szCs w:val="22"/>
        </w:rPr>
        <w:t>y sugerenciasl al obispado para darles fuerza</w:t>
      </w:r>
    </w:p>
    <w:p>
      <w:pPr>
        <w:sectPr>
          <w:type w:val="continuous"/>
          <w:pgSz w:w="11906" w:h="16838"/>
          <w:pgMar w:left="1134" w:right="1134" w:header="720" w:top="1134" w:footer="720" w:bottom="1134" w:gutter="0"/>
          <w:formProt w:val="false"/>
          <w:textDirection w:val="lrTb"/>
          <w:docGrid w:type="default" w:linePitch="100" w:charSpace="0"/>
        </w:sectPr>
      </w:pPr>
    </w:p>
    <w:p>
      <w:pPr>
        <w:pStyle w:val="Normal"/>
        <w:spacing w:before="57" w:after="0"/>
        <w:rPr/>
      </w:pPr>
      <w:r>
        <w:rPr/>
      </w:r>
    </w:p>
    <w:p>
      <w:pPr>
        <w:pStyle w:val="Normal"/>
        <w:spacing w:before="57" w:after="0"/>
        <w:rPr>
          <w:rFonts w:ascii="Calibri" w:hAnsi="Calibri" w:eastAsia="Calibri" w:cs="Calibri"/>
          <w:color w:val="auto"/>
          <w:kern w:val="0"/>
          <w:sz w:val="22"/>
          <w:szCs w:val="22"/>
          <w:lang w:val="es" w:eastAsia="zh-CN" w:bidi="hi-IN"/>
        </w:rPr>
      </w:pPr>
      <w:r>
        <w:rPr>
          <w:rFonts w:eastAsia="Calibri" w:cs="Calibri" w:ascii="Calibri" w:hAnsi="Calibri"/>
          <w:color w:val="auto"/>
          <w:kern w:val="0"/>
          <w:sz w:val="22"/>
          <w:szCs w:val="22"/>
          <w:lang w:val="es" w:eastAsia="zh-CN" w:bidi="hi-IN"/>
        </w:rPr>
        <w:t>ORACION FINAL</w:t>
      </w:r>
    </w:p>
    <w:p>
      <w:pPr>
        <w:sectPr>
          <w:type w:val="continuous"/>
          <w:pgSz w:w="11906" w:h="16838"/>
          <w:pgMar w:left="1134" w:right="1134" w:header="720" w:top="1134" w:footer="720" w:bottom="1134" w:gutter="0"/>
          <w:formProt w:val="false"/>
          <w:textDirection w:val="lrTb"/>
          <w:docGrid w:type="default" w:linePitch="100" w:charSpace="0"/>
        </w:sectPr>
      </w:pPr>
    </w:p>
    <w:sectPr>
      <w:type w:val="continuous"/>
      <w:pgSz w:w="11906" w:h="16838"/>
      <w:pgMar w:left="1134" w:right="1134" w:header="720" w:top="1134" w:footer="72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Calibri">
    <w:charset w:val="01"/>
    <w:family w:val="roman"/>
    <w:pitch w:val="variable"/>
  </w:font>
  <w:font w:name="OpenSymbol">
    <w:altName w:val="Arial Unicode MS"/>
    <w:charset w:val="02"/>
    <w:family w:val="auto"/>
    <w:pitch w:val="default"/>
    <w:embedRegular r:id="rId5" w:fontKey="{05014A78-CABC-4EF0-12AC-5CD89AEFDE05}"/>
  </w:font>
  <w:font w:name="Liberation Sans">
    <w:altName w:val="Arial"/>
    <w:charset w:val="01"/>
    <w:family w:val="roman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Georgia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  <w:embedRegular r:id="rId5" w:fontKey="{05014A78-CABC-4EF0-12AC-5CD89AEFDE05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auto" w:line="276"/>
      <w:jc w:val="right"/>
      <w:rPr>
        <w:rFonts w:ascii="Calibri" w:hAnsi="Calibri" w:eastAsia="Calibri" w:cs="Calibri"/>
        <w:i/>
        <w:i/>
        <w:iCs/>
        <w:sz w:val="20"/>
        <w:szCs w:val="20"/>
      </w:rPr>
    </w:pPr>
    <w:r>
      <w:rPr>
        <w:rFonts w:eastAsia="Calibri" w:cs="Calibri" w:ascii="Calibri" w:hAnsi="Calibri"/>
        <w:i/>
        <w:iCs/>
        <w:sz w:val="20"/>
        <w:szCs w:val="20"/>
      </w:rPr>
      <w:t>Coordinadora de grupos synodos.blog</w:t>
    </w:r>
  </w:p>
  <w:p>
    <w:pPr>
      <w:pStyle w:val="Normal"/>
      <w:spacing w:lineRule="auto" w:line="276"/>
      <w:jc w:val="right"/>
      <w:rPr>
        <w:rFonts w:ascii="Calibri" w:hAnsi="Calibri" w:eastAsia="Calibri" w:cs="Calibri"/>
        <w:i/>
        <w:i/>
        <w:iCs/>
        <w:sz w:val="20"/>
        <w:szCs w:val="20"/>
      </w:rPr>
    </w:pPr>
    <w:r>
      <w:rPr>
        <w:rFonts w:eastAsia="Calibri" w:cs="Calibri" w:ascii="Calibri" w:hAnsi="Calibri"/>
        <w:i/>
        <w:iCs/>
        <w:sz w:val="20"/>
        <w:szCs w:val="20"/>
      </w:rPr>
      <w:t>Guías de trabajo para la fase de implementación del Sínodo</w:t>
    </w:r>
  </w:p>
  <w:p>
    <w:pPr>
      <w:pStyle w:val="Normal"/>
      <w:spacing w:lineRule="auto" w:line="276"/>
      <w:jc w:val="right"/>
      <w:rPr>
        <w:rFonts w:ascii="Calibri" w:hAnsi="Calibri" w:eastAsia="Calibri" w:cs="Calibri"/>
        <w:i/>
        <w:i/>
        <w:iCs/>
        <w:sz w:val="20"/>
        <w:szCs w:val="20"/>
      </w:rPr>
    </w:pPr>
    <w:r>
      <w:rPr>
        <w:rFonts w:eastAsia="Calibri" w:cs="Calibri" w:ascii="Calibri" w:hAnsi="Calibri"/>
        <w:i/>
        <w:iCs/>
        <w:sz w:val="20"/>
        <w:szCs w:val="20"/>
      </w:rPr>
    </w:r>
  </w:p>
  <w:p>
    <w:pPr>
      <w:pStyle w:val="Normal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1440" w:hanging="360"/>
      </w:pPr>
      <w:rPr>
        <w:sz w:val="22"/>
        <w:u w:val="none"/>
        <w:rFonts w:ascii="Calibri" w:hAnsi="Calibri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40"/>
  <w:embedTrueTypeFonts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Cs w:val="24"/>
        <w:lang w:val="e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bidi w:val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es" w:eastAsia="zh-CN" w:bidi="hi-IN"/>
    </w:rPr>
  </w:style>
  <w:style w:type="paragraph" w:styleId="Ttulo1">
    <w:name w:val="Heading 1"/>
    <w:next w:val="Normal"/>
    <w:qFormat/>
    <w:pPr>
      <w:keepNext w:val="true"/>
      <w:keepLines/>
      <w:pageBreakBefore w:val="false"/>
      <w:widowControl w:val="false"/>
      <w:spacing w:lineRule="auto" w:line="240" w:before="480" w:after="120"/>
    </w:pPr>
    <w:rPr>
      <w:rFonts w:ascii="Liberation Serif" w:hAnsi="Liberation Serif" w:eastAsia="Liberation Serif" w:cs="Liberation Serif"/>
      <w:b/>
      <w:bCs/>
      <w:color w:val="auto"/>
      <w:kern w:val="0"/>
      <w:sz w:val="48"/>
      <w:szCs w:val="48"/>
      <w:lang w:val="es" w:eastAsia="zh-CN" w:bidi="hi-IN"/>
    </w:rPr>
  </w:style>
  <w:style w:type="paragraph" w:styleId="Ttulo2">
    <w:name w:val="Heading 2"/>
    <w:next w:val="Normal"/>
    <w:qFormat/>
    <w:pPr>
      <w:keepNext w:val="true"/>
      <w:keepLines/>
      <w:pageBreakBefore w:val="false"/>
      <w:widowControl w:val="false"/>
      <w:spacing w:lineRule="auto" w:line="240" w:before="360" w:after="80"/>
    </w:pPr>
    <w:rPr>
      <w:rFonts w:ascii="Liberation Serif" w:hAnsi="Liberation Serif" w:eastAsia="Liberation Serif" w:cs="Liberation Serif"/>
      <w:b/>
      <w:bCs/>
      <w:color w:val="auto"/>
      <w:kern w:val="0"/>
      <w:sz w:val="36"/>
      <w:szCs w:val="36"/>
      <w:lang w:val="es" w:eastAsia="zh-CN" w:bidi="hi-IN"/>
    </w:rPr>
  </w:style>
  <w:style w:type="paragraph" w:styleId="Ttulo3">
    <w:name w:val="Heading 3"/>
    <w:next w:val="Normal"/>
    <w:qFormat/>
    <w:pPr>
      <w:keepNext w:val="true"/>
      <w:keepLines/>
      <w:pageBreakBefore w:val="false"/>
      <w:widowControl w:val="false"/>
      <w:spacing w:lineRule="auto" w:line="240" w:before="280" w:after="80"/>
    </w:pPr>
    <w:rPr>
      <w:rFonts w:ascii="Liberation Serif" w:hAnsi="Liberation Serif" w:eastAsia="Liberation Serif" w:cs="Liberation Serif"/>
      <w:b/>
      <w:bCs/>
      <w:color w:val="auto"/>
      <w:kern w:val="0"/>
      <w:sz w:val="28"/>
      <w:szCs w:val="28"/>
      <w:lang w:val="es" w:eastAsia="zh-CN" w:bidi="hi-IN"/>
    </w:rPr>
  </w:style>
  <w:style w:type="paragraph" w:styleId="Ttulo4">
    <w:name w:val="Heading 4"/>
    <w:next w:val="Normal"/>
    <w:qFormat/>
    <w:pPr>
      <w:keepNext w:val="true"/>
      <w:keepLines/>
      <w:pageBreakBefore w:val="false"/>
      <w:widowControl w:val="false"/>
      <w:spacing w:lineRule="auto" w:line="240" w:before="240" w:after="40"/>
    </w:pPr>
    <w:rPr>
      <w:rFonts w:ascii="Liberation Serif" w:hAnsi="Liberation Serif" w:eastAsia="Liberation Serif" w:cs="Liberation Serif"/>
      <w:b/>
      <w:bCs/>
      <w:color w:val="auto"/>
      <w:kern w:val="0"/>
      <w:sz w:val="24"/>
      <w:szCs w:val="24"/>
      <w:lang w:val="es" w:eastAsia="zh-CN" w:bidi="hi-IN"/>
    </w:rPr>
  </w:style>
  <w:style w:type="paragraph" w:styleId="Ttulo5">
    <w:name w:val="Heading 5"/>
    <w:next w:val="Normal"/>
    <w:qFormat/>
    <w:pPr>
      <w:keepNext w:val="true"/>
      <w:keepLines/>
      <w:pageBreakBefore w:val="false"/>
      <w:widowControl w:val="false"/>
      <w:spacing w:lineRule="auto" w:line="240" w:before="220" w:after="40"/>
    </w:pPr>
    <w:rPr>
      <w:rFonts w:ascii="Liberation Serif" w:hAnsi="Liberation Serif" w:eastAsia="Liberation Serif" w:cs="Liberation Serif"/>
      <w:b/>
      <w:bCs/>
      <w:color w:val="auto"/>
      <w:kern w:val="0"/>
      <w:sz w:val="22"/>
      <w:szCs w:val="22"/>
      <w:lang w:val="es" w:eastAsia="zh-CN" w:bidi="hi-IN"/>
    </w:rPr>
  </w:style>
  <w:style w:type="paragraph" w:styleId="Ttulo6">
    <w:name w:val="Heading 6"/>
    <w:next w:val="Normal"/>
    <w:qFormat/>
    <w:pPr>
      <w:keepNext w:val="true"/>
      <w:keepLines/>
      <w:pageBreakBefore w:val="false"/>
      <w:widowControl w:val="false"/>
      <w:spacing w:lineRule="auto" w:line="240" w:before="200" w:after="40"/>
    </w:pPr>
    <w:rPr>
      <w:rFonts w:ascii="Liberation Serif" w:hAnsi="Liberation Serif" w:eastAsia="Liberation Serif" w:cs="Liberation Serif"/>
      <w:b/>
      <w:bCs/>
      <w:color w:val="auto"/>
      <w:kern w:val="0"/>
      <w:sz w:val="20"/>
      <w:szCs w:val="20"/>
      <w:lang w:val="es" w:eastAsia="zh-CN" w:bidi="hi-IN"/>
    </w:rPr>
  </w:style>
  <w:style w:type="character" w:styleId="ListLabel1">
    <w:name w:val="ListLabel 1"/>
    <w:qFormat/>
    <w:rPr>
      <w:rFonts w:ascii="Calibri" w:hAnsi="Calibri"/>
      <w:sz w:val="22"/>
      <w:u w:val="none"/>
    </w:rPr>
  </w:style>
  <w:style w:type="character" w:styleId="ListLabel2">
    <w:name w:val="ListLabel 2"/>
    <w:qFormat/>
    <w:rPr>
      <w:u w:val="none"/>
    </w:rPr>
  </w:style>
  <w:style w:type="character" w:styleId="ListLabel3">
    <w:name w:val="ListLabel 3"/>
    <w:qFormat/>
    <w:rPr>
      <w:u w:val="none"/>
    </w:rPr>
  </w:style>
  <w:style w:type="character" w:styleId="ListLabel4">
    <w:name w:val="ListLabel 4"/>
    <w:qFormat/>
    <w:rPr>
      <w:u w:val="none"/>
    </w:rPr>
  </w:style>
  <w:style w:type="character" w:styleId="ListLabel5">
    <w:name w:val="ListLabel 5"/>
    <w:qFormat/>
    <w:rPr>
      <w:u w:val="none"/>
    </w:rPr>
  </w:style>
  <w:style w:type="character" w:styleId="ListLabel6">
    <w:name w:val="ListLabel 6"/>
    <w:qFormat/>
    <w:rPr>
      <w:u w:val="none"/>
    </w:rPr>
  </w:style>
  <w:style w:type="character" w:styleId="ListLabel7">
    <w:name w:val="ListLabel 7"/>
    <w:qFormat/>
    <w:rPr>
      <w:u w:val="none"/>
    </w:rPr>
  </w:style>
  <w:style w:type="character" w:styleId="ListLabel8">
    <w:name w:val="ListLabel 8"/>
    <w:qFormat/>
    <w:rPr>
      <w:u w:val="none"/>
    </w:rPr>
  </w:style>
  <w:style w:type="character" w:styleId="ListLabel9">
    <w:name w:val="ListLabel 9"/>
    <w:qFormat/>
    <w:rPr>
      <w:u w:val="none"/>
    </w:rPr>
  </w:style>
  <w:style w:type="character" w:styleId="ListLabel10">
    <w:name w:val="ListLabel 10"/>
    <w:qFormat/>
    <w:rPr>
      <w:rFonts w:ascii="Calibri" w:hAnsi="Calibri"/>
      <w:sz w:val="22"/>
      <w:u w:val="none"/>
    </w:rPr>
  </w:style>
  <w:style w:type="character" w:styleId="ListLabel11">
    <w:name w:val="ListLabel 11"/>
    <w:qFormat/>
    <w:rPr>
      <w:u w:val="none"/>
    </w:rPr>
  </w:style>
  <w:style w:type="character" w:styleId="ListLabel12">
    <w:name w:val="ListLabel 12"/>
    <w:qFormat/>
    <w:rPr>
      <w:u w:val="none"/>
    </w:rPr>
  </w:style>
  <w:style w:type="character" w:styleId="ListLabel13">
    <w:name w:val="ListLabel 13"/>
    <w:qFormat/>
    <w:rPr>
      <w:u w:val="none"/>
    </w:rPr>
  </w:style>
  <w:style w:type="character" w:styleId="ListLabel14">
    <w:name w:val="ListLabel 14"/>
    <w:qFormat/>
    <w:rPr>
      <w:u w:val="none"/>
    </w:rPr>
  </w:style>
  <w:style w:type="character" w:styleId="ListLabel15">
    <w:name w:val="ListLabel 15"/>
    <w:qFormat/>
    <w:rPr>
      <w:u w:val="none"/>
    </w:rPr>
  </w:style>
  <w:style w:type="character" w:styleId="ListLabel16">
    <w:name w:val="ListLabel 16"/>
    <w:qFormat/>
    <w:rPr>
      <w:u w:val="none"/>
    </w:rPr>
  </w:style>
  <w:style w:type="character" w:styleId="ListLabel17">
    <w:name w:val="ListLabel 17"/>
    <w:qFormat/>
    <w:rPr>
      <w:u w:val="none"/>
    </w:rPr>
  </w:style>
  <w:style w:type="character" w:styleId="ListLabel18">
    <w:name w:val="ListLabel 18"/>
    <w:qFormat/>
    <w:rPr>
      <w:u w:val="none"/>
    </w:rPr>
  </w:style>
  <w:style w:type="character" w:styleId="Vietas">
    <w:name w:val="Viñetas"/>
    <w:qFormat/>
    <w:rPr>
      <w:rFonts w:ascii="OpenSymbol" w:hAnsi="OpenSymbol" w:eastAsia="OpenSymbol" w:cs="OpenSymbol"/>
    </w:rPr>
  </w:style>
  <w:style w:type="character" w:styleId="Smbolosdenumeracin">
    <w:name w:val="Símbolos de numeración"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LOnormal" w:default="1">
    <w:name w:val="LO-normal"/>
    <w:qFormat/>
    <w:pPr>
      <w:widowControl/>
      <w:bidi w:val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es" w:eastAsia="zh-CN" w:bidi="hi-IN"/>
    </w:rPr>
  </w:style>
  <w:style w:type="paragraph" w:styleId="Titular">
    <w:name w:val="Title"/>
    <w:basedOn w:val="LOnormal"/>
    <w:next w:val="Normal"/>
    <w:qFormat/>
    <w:pPr>
      <w:keepNext w:val="true"/>
      <w:keepLines/>
      <w:pageBreakBefore w:val="false"/>
      <w:spacing w:lineRule="auto" w:line="240" w:before="480" w:after="120"/>
    </w:pPr>
    <w:rPr>
      <w:b/>
      <w:bCs/>
      <w:sz w:val="72"/>
      <w:szCs w:val="72"/>
    </w:rPr>
  </w:style>
  <w:style w:type="paragraph" w:styleId="Subttulo">
    <w:name w:val="Subtitle"/>
    <w:basedOn w:val="LOnormal"/>
    <w:next w:val="Normal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paragraph" w:styleId="Cabecera">
    <w:name w:val="Header"/>
    <w:basedOn w:val="Normal"/>
    <w:pPr/>
    <w:rPr/>
  </w:style>
  <w:style w:type="paragraph" w:styleId="Piedepgina">
    <w:name w:val="Footer"/>
    <w:basedOn w:val="Normal"/>
    <w:pPr/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GzdGQwjDtlTLKW1Sy/nuqXXCj1Q==">CgMxLjA4AHIhMUx6VmZSNm1UaW82cDR2b3BxWnZRRTdxYTVGNVVZQloz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50</TotalTime>
  <Application>LibreOffice/6.0.7.3$Linux_x86 LibreOffice_project/00m0$Build-3</Application>
  <Pages>3</Pages>
  <Words>1115</Words>
  <Characters>5813</Characters>
  <CharactersWithSpaces>6891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es-ES</dc:language>
  <cp:lastModifiedBy/>
  <dcterms:modified xsi:type="dcterms:W3CDTF">2026-05-20T18:43:05Z</dcterms:modified>
  <cp:revision>5</cp:revision>
  <dc:subject/>
  <dc:title/>
</cp:coreProperties>
</file>